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179 vom 6. Oktober 2015</w:t>
      </w:r>
    </w:p>
    <w:p>
      <w:r>
        <w:t>FR Kantonsgericht, 2015-10-06, FR</w:t>
      </w:r>
    </w:p>
    <w:p>
      <w:r>
        <w:rPr>
          <w:b/>
        </w:rPr>
        <w:t xml:space="preserve">Quelle: </w:t>
      </w:r>
      <w:r>
        <w:t>https://mcp.opencaselaw.ch/entscheid/fr_gerichte_101 2015 179</w:t>
      </w:r>
    </w:p>
    <w:p>
      <w:r>
        <w:t>FR: FR_GERICHTE 101 2015 179 du 6 octobre 2015</w:t>
      </w:r>
    </w:p>
    <w:p>
      <w:r>
        <w:t>IT: FR_GERICHTE 101 2015 179 del 6 ottobre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juillet 2015, notifiée à son mandataire le 30 juillet 2015. Il conclut, sous suite de frais d'appel, à ce que la pension en faveur de son épouse soit diminuée à CHF 300.- par mois jusqu'au 30 juin 2015, puis supprimée. Par mémoire séparé du même jour, il a de plus requis l'assistance judiciaire pour l'appel, que la Juge déléguée de la Cour lui a octroyée par arrêt du 24 août 2015. C. Dans sa réponse du 7 septembre 2015, B.________ conclut au rejet de l'appel et à la confirmation de la décision attaquée, sous suite de frais. L'intimée a également requis l'assistance judiciaire pour l'appel. La Juge déléguée de la Cour la lui a accordée par arrêt du 14 septembre 2015.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 le 30 juillet 2015 (DO III / 55). Déposé le lundi 10 août 2015, dernier jour reporté (art. 142 al. 3 CPC) du délai qui est arrivé à échéance la veille, le mémoire d'appel a dès lors été interjeté en temps utile. Il est de plus dûment motivé et doté de conclusions. En outre, vu la contribution d'entretien de l'épouse contestée en première instance, soit CHF 1'100.- par mois, la valeur litigieuse en appel est clairement supérieure à CHF 10'000.-. Il s'ensuit la recevabilité de l'appel. b) La procédure sommaire (art. 252 ss CPC) s'applique aux causes de mesures provisionnelles (art. 271 par renvoi de l'art. 276 al. 1 CPC), le tribunal établissant toutefois les faits d'office (maxime inquisitoire, art. 272 CPC).</w:t>
      </w:r>
    </w:p>
    <w:p>
      <w:r>
        <w:t>Tribunal cantonal TC Page 3 de 6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2012-269 du 19décembre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l'espèce, A.________ invoque nouvellement en appel que, le 3 [recte: 26; cf. pièce 3 du bordereau d'appel, qui fait état d'un entretien à cette date] juin 2015, il a été licencié au 30 juin 2015 et qu'il se trouve depuis lors au chômage (appel, p. 6 s.). Il n'explique cependant pas pour quel motif il n'a pas fait valoir cet élément en première instance avant la reddition de la décision, intervenue le 15 juillet 2015, soit 2 ½ semaines plus tard. Il se borne à relever que ce fait se serait produit après la clôture de la procédure probatoire relative aux mesures provisoires, mais le procès-verbal de l'audience du 23 janvier 2015 (DO III / 9 ss) ne mentionne pas que l'administration des preuves aurait alors été close et le dossier montre au contraire que, par la suite, plusieurs mesures d'instruction ont été ordonnées en lien avec l'attribution des enfants. De plus, dans la procédure de divorce au fond, le mandataire de l'appelant a écrit au premier juge le 7 juillet 2015 pour requérir un moyen de preuve complémentaire, sans toutefois invoquer le licenciement de son client. Ce dernier, qui ignorait si une décision de mesures provisionnelles avait</w:t>
      </w:r>
    </w:p>
    <w:p>
      <w:r>
        <w:t>Tribunal cantonal TC Page 4 de 6 été rendue, aurait dû informer immédiatement son avocat de la résiliation de son contrat de travail, ce qui aurait encore permis à Me Bosson de s'en prévaloir dans le courrier du 7 juillet 2015. Partant, conformément à la jurisprudence précitée, il faut retenir que l'appelant n'a pas fait preuve de la diligence requise, ni respecté son devoir de collaboration, ce qui, en application de l'art. 317 CPC, entraîne l'irrecevabilité de ce fait nouveau en appel. Au demeurant, même recevable, cet élément n'aurait a priori pas pu être pris en compte. En effet, la lettre de licenciement (pièce 3 du bordereau d'appel) mentionne que l'époux n'a pas respecté les consignes de son employeur malgré plusieurs avertissements et que, le 26 juin 2015, il a demandé à être licencié avec effet immédiat. Dès lors, ce congé devrait selon toute vraisemblance être considéré comme une péjoration volontaire de la situation du mari, ce qui autoriserait le juge à lui imputer le revenu qu'il gagnait précédemment, ce avec effet rétroactif au jour de la diminution (arrêt TF 5A_612/2011 du 27 février 2012 consid. 2.1). e) Selon l'art. 316 al. 1 CPC, la Cour d'appel peut ordonner des débats ou statuer sur pièces. En l'espèce, vu l'objet de la procédure et le fait que toutes les pièces nécessaires à son traitement figurent au dossier, il n'est pas nécessaire d'assigner les parties à une audience. f) Vu le montant contesté en appel, comme la durée en l'état indéterminée des mesures prononcées, la valeur litigieuse pour un recours au Tribunal fédéral semble supérieure à CHF 30'000.- (art. 51 al. 1 let. a et al. 4 LTF). 2. L'appelant conteste la contribution d'entretien mensuelle de CHF 1'100.- qu'il a été astreint à verser à son épouse. Il demande sa diminution à CHF 300.- jusqu'au 30 juin 2015, puis sa suppression.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b) En l'espèce, le premier juge a retenu que l'épouse n'exerce aucune activité lucrative et qu'elle est sans ressources (décision attaquée, p. 9), ce qui n'est pas critiqué. Partant, elle subit un déficit au moins égal à son minimum vital de base, soit CHF 1'200.-. c) S'agissant du mari, le Président a pris en compte un revenu mensuel net de CHF 4'916.-, en mensualisant le salaire annuel de CHF 58'992.- perçu en 2014 (décision attaquée, p. 9). L'appelant lui reproche d'avoir omis d'en soustraire les allocations familiales, par CHF 4'800.- (appel, p. 6), et l'intimée admet ce grief (réponse, p. 5). Partant, le revenu déterminant de A.________ doit être arrêté à CHF 4'516.- par mois, soit 1/12 de CHF 54'192.-. Il est rappelé que l'invocation de son licenciement au 30 juin 2015 et de la probable baisse de salaire qui y est liée est irrecevable en appel (supra, ch. 1d). Au niveau des charges de l'appelant, le premier juge a pris en compte un total de CHF 2'190.90, dont CHF 550.- de part aux charges de la maison dont il est copropriétaire avec ses parents et qu'il partage avec eux (décision attaquée, p. 9), plus CHF 1'120.- (2 x CHF 560.-) de contributions pour ses enfants, soit CHF 3'310.90 en tout. L'époux lui reproche d'avoir compté uniquement</w:t>
      </w:r>
    </w:p>
    <w:p>
      <w:r>
        <w:t>Tribunal cantonal TC Page 5 de 6 CHF 550.- de part aux frais de la maison, alors qu'il a prouvé verser CHF 1'100.- sur le compte affecté au paiement des intérêts hypothécaires et que ses parents paient les charges courantes de l'immeuble (appel, p. 8). Selon la jurisprudence,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 TF 5A_365/2014 du 25 juillet 2014 consid. 3.1). En l'espèce, l'appelant a certes établi (pièce VIII du bordereau de la procédure de divorce) qu'il vire chaque mois CHF 1'100.- sur le compte dont les intérêts hypothécaires sont débités. Toutefois, selon l'extrait de ce dernier compte (pièce IX), ceux-ci s'élèvent à CHF 2'690.75 par trimestre, soit CHF 896.90 par mois. Même en ajoutant un montant de l'ordre de CHF 400.- par mois pour les charges courantes, les frais effectifs de la maison ne dépassent pas CHF 1'300.- mensuels, dont seule la moitié, soit CHF 650.-, peut être imputée au mari, qui en est copropriétaire avec ses parents. Les charges de l'appelant doivent dès lors être augmentées de CHF 100.- et arrêtées à CHF 3'410.90, d'où un disponible mensuel avant impôts de CHF 1'105.10. d) Le mari ayant les moyens de verser à son épouse la pension mensuelle de CHF 1'100.- décidée en première instance, qui est inférieure au déficit de l'intimée, l'appel doit être intégralement rejeté. 3. a) Conformément à l'art. 106 al. 1 CPC, sous réserve de l'assistance judiciaire, les frais d'appel doivent être mis à la charge de A.________, qui succombe. Ils comprennent notamment les frais judiciaires dus à l'Etat pour le présent arrêt, fixés à CHF 1'000.-.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l'intimée à la somme de CHF 1'000.-, débours compris, plus la TVA par CHF 80.- (8 % de CHF 1'000.-). (dispositif en page suivante)</w:t>
      </w:r>
    </w:p>
    <w:p>
      <w:r>
        <w:t>Tribunal cantonal TC Page 6 de 6 la Cour arrête: I. L'appel est rejeté. Partant, le chiffre 7 du dispositif de la décision prononcée le 15 juillet 2015 par le Président du Tribunal civil de la Gruyère est confirmé. II. Les frais d'appel, qui comprennent notamment les frais judiciaires dus à l'Etat, fixés à CHF 1’000.-, sont mis à la charge de A.________, sous réserve de l’assistance judiciaire. III. Les dépens d'appel de B.________ sont fixés globalement à la somme de CHF 1'000.-, débours compris, plus la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octobre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